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29bis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502732</w:t>
      </w:r>
    </w:p>
    <w:p w14:paraId="204D30C9">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Wuhan, China, 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 2025</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8.1.5</w:t>
      </w:r>
    </w:p>
    <w:p w14:paraId="49C4C677">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xml:space="preserve">, </w:t>
      </w:r>
      <w:r>
        <w:rPr>
          <w:rFonts w:hint="eastAsia" w:ascii="Arial" w:hAnsi="Arial" w:eastAsia="宋体" w:cs="Arial"/>
          <w:b/>
          <w:bCs/>
          <w:i w:val="0"/>
          <w:iCs w:val="0"/>
          <w:kern w:val="0"/>
          <w:sz w:val="24"/>
          <w:szCs w:val="20"/>
          <w:shd w:val="clear"/>
          <w:lang w:val="en-US" w:eastAsia="zh-CN"/>
        </w:rPr>
        <w:t>China Telecom, CATT, ZTE, Apple, Samsung</w:t>
      </w:r>
    </w:p>
    <w:p w14:paraId="37A6180B">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14:paraId="5170EB1D">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2697CDE4">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eastAsia="宋体" w:cs="Arial"/>
          <w:kern w:val="0"/>
          <w:sz w:val="18"/>
          <w:szCs w:val="18"/>
          <w:lang w:val="en-US" w:eastAsia="zh-CN"/>
        </w:rPr>
      </w:pPr>
      <w:r>
        <w:rPr>
          <w:rFonts w:hint="eastAsia" w:ascii="Arial" w:hAnsi="Arial" w:cs="Arial"/>
          <w:sz w:val="20"/>
          <w:szCs w:val="21"/>
          <w:lang w:val="en-US" w:eastAsia="zh-CN"/>
        </w:rPr>
        <w:t>During R18 study</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discussed the potential solutions for AI/ML model transfer/delivery and captured the analysis of current status, gaps and potential RAN specification impact for each solution in TR 38.843 [1].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14:paraId="50C2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14:paraId="26CC92FB">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1a: gNB can transfer/deliver AI/ML model(s) to UE via RRC signalling.</w:t>
            </w:r>
          </w:p>
          <w:p w14:paraId="0555DA3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2a: Core Network (except LMF) can transfer/deliver AI/ML model(s) to UE via NAS signalling.</w:t>
            </w:r>
          </w:p>
          <w:p w14:paraId="0018AEBE">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3a: LMF can transfer/deliver AI/ML model(s) to UE via LPP signalling.</w:t>
            </w:r>
          </w:p>
          <w:p w14:paraId="3E63C7F6">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1b: gNB can transfer/deliver AI/ML model(s) to UE via UP data.</w:t>
            </w:r>
          </w:p>
          <w:p w14:paraId="19D815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2b: Core Network (except LMF) can transfer/deliver AI/ML model(s) to UE via User Plane (UP) data.</w:t>
            </w:r>
          </w:p>
          <w:p w14:paraId="077A55DF">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3b: LMF can transfer/deliver AI/ML model(s) to UE via UP data.</w:t>
            </w:r>
          </w:p>
          <w:p w14:paraId="5EDE4D6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4a: OTT server can transfer/deliver AI/ML model(s) to UE (e.g., transparent to 3GPP).</w:t>
            </w:r>
          </w:p>
          <w:p w14:paraId="5766A3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lang w:val="en-GB" w:eastAsia="en-GB"/>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4b: OAM can transfer/deliver AI/ML model(s) to UE.</w:t>
            </w:r>
          </w:p>
        </w:tc>
      </w:tr>
    </w:tbl>
    <w:p w14:paraId="48CD3A3D">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kern w:val="0"/>
          <w:sz w:val="20"/>
          <w:szCs w:val="20"/>
          <w:lang w:val="en-US" w:eastAsia="zh-CN"/>
        </w:rPr>
        <w:t xml:space="preserve">RAN1 studies the following potential cases for model transfer/delivery </w:t>
      </w:r>
      <w:r>
        <w:rPr>
          <w:rFonts w:hint="eastAsia" w:ascii="Arial" w:hAnsi="Arial" w:eastAsia="宋体" w:cs="Arial"/>
          <w:b w:val="0"/>
          <w:bCs w:val="0"/>
          <w:kern w:val="0"/>
          <w:sz w:val="20"/>
          <w:szCs w:val="20"/>
          <w:lang w:val="en-US" w:eastAsia="zh-CN"/>
        </w:rPr>
        <w:t>considering the model format, model storage location and training location. And RAN1 agreed to de-prioritize case z2, z3 and z5 during R19 discussion.</w:t>
      </w:r>
    </w:p>
    <w:p w14:paraId="315EE173">
      <w:pPr>
        <w:widowControl/>
        <w:spacing w:before="120" w:beforeLines="50" w:after="180"/>
        <w:jc w:val="center"/>
        <w:rPr>
          <w:rFonts w:hint="default" w:ascii="Arial" w:hAnsi="Arial" w:eastAsia="宋体" w:cs="Arial"/>
          <w:b/>
          <w:bCs/>
          <w:kern w:val="0"/>
          <w:sz w:val="20"/>
          <w:szCs w:val="20"/>
          <w:lang w:val="en-US" w:eastAsia="zh-CN"/>
        </w:rPr>
      </w:pPr>
      <w:r>
        <w:rPr>
          <w:rFonts w:hint="default" w:ascii="Arial" w:hAnsi="Arial" w:cs="Arial"/>
          <w:b/>
          <w:bCs/>
          <w:sz w:val="20"/>
          <w:szCs w:val="20"/>
        </w:rPr>
        <w:t>Table 1: Model delivery/transfer cases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831"/>
        <w:gridCol w:w="2196"/>
        <w:gridCol w:w="2974"/>
      </w:tblGrid>
      <w:tr w14:paraId="3C6B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14:paraId="76E03CE3">
            <w:pPr>
              <w:spacing w:after="0"/>
              <w:rPr>
                <w:rFonts w:ascii="Arial" w:hAnsi="Arial" w:cs="Arial"/>
                <w:b/>
                <w:sz w:val="18"/>
                <w:szCs w:val="18"/>
              </w:rPr>
            </w:pPr>
            <w:r>
              <w:rPr>
                <w:rFonts w:ascii="Arial" w:hAnsi="Arial" w:cs="Arial"/>
                <w:b/>
                <w:sz w:val="18"/>
                <w:szCs w:val="18"/>
              </w:rPr>
              <w:t>Case</w:t>
            </w:r>
          </w:p>
        </w:tc>
        <w:tc>
          <w:tcPr>
            <w:tcW w:w="3831" w:type="dxa"/>
            <w:shd w:val="clear" w:color="auto" w:fill="D8D8D8" w:themeFill="background1" w:themeFillShade="D9"/>
          </w:tcPr>
          <w:p w14:paraId="4A944BF1">
            <w:pPr>
              <w:spacing w:after="0"/>
              <w:rPr>
                <w:rFonts w:ascii="Arial" w:hAnsi="Arial" w:cs="Arial"/>
                <w:b/>
                <w:sz w:val="18"/>
                <w:szCs w:val="18"/>
              </w:rPr>
            </w:pPr>
            <w:r>
              <w:rPr>
                <w:rFonts w:ascii="Arial" w:hAnsi="Arial" w:cs="Arial"/>
                <w:b/>
                <w:sz w:val="18"/>
                <w:szCs w:val="18"/>
              </w:rPr>
              <w:t>Model delivery/transfer</w:t>
            </w:r>
          </w:p>
        </w:tc>
        <w:tc>
          <w:tcPr>
            <w:tcW w:w="2196" w:type="dxa"/>
            <w:shd w:val="clear" w:color="auto" w:fill="D8D8D8" w:themeFill="background1" w:themeFillShade="D9"/>
          </w:tcPr>
          <w:p w14:paraId="6F99346F">
            <w:pPr>
              <w:spacing w:after="0"/>
              <w:rPr>
                <w:rFonts w:ascii="Arial" w:hAnsi="Arial" w:cs="Arial"/>
                <w:b/>
                <w:sz w:val="18"/>
                <w:szCs w:val="18"/>
              </w:rPr>
            </w:pPr>
            <w:r>
              <w:rPr>
                <w:rFonts w:ascii="Arial" w:hAnsi="Arial" w:cs="Arial"/>
                <w:b/>
                <w:sz w:val="18"/>
                <w:szCs w:val="18"/>
              </w:rPr>
              <w:t>Model storage location</w:t>
            </w:r>
          </w:p>
        </w:tc>
        <w:tc>
          <w:tcPr>
            <w:tcW w:w="2974" w:type="dxa"/>
            <w:shd w:val="clear" w:color="auto" w:fill="D8D8D8" w:themeFill="background1" w:themeFillShade="D9"/>
          </w:tcPr>
          <w:p w14:paraId="57EA2A8E">
            <w:pPr>
              <w:spacing w:after="0"/>
              <w:rPr>
                <w:rFonts w:ascii="Arial" w:hAnsi="Arial" w:cs="Arial"/>
                <w:b/>
                <w:sz w:val="18"/>
                <w:szCs w:val="18"/>
              </w:rPr>
            </w:pPr>
            <w:r>
              <w:rPr>
                <w:rFonts w:ascii="Arial" w:hAnsi="Arial" w:cs="Arial"/>
                <w:b/>
                <w:sz w:val="18"/>
                <w:szCs w:val="18"/>
              </w:rPr>
              <w:t>Training location</w:t>
            </w:r>
          </w:p>
        </w:tc>
      </w:tr>
      <w:tr w14:paraId="63F7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85671BA">
            <w:pPr>
              <w:spacing w:after="0"/>
              <w:rPr>
                <w:rFonts w:ascii="Arial" w:hAnsi="Arial" w:cs="Arial"/>
                <w:b/>
                <w:sz w:val="18"/>
                <w:szCs w:val="18"/>
              </w:rPr>
            </w:pPr>
            <w:r>
              <w:rPr>
                <w:rFonts w:ascii="Arial" w:hAnsi="Arial" w:cs="Arial"/>
                <w:b/>
                <w:sz w:val="18"/>
                <w:szCs w:val="18"/>
              </w:rPr>
              <w:t>y</w:t>
            </w:r>
          </w:p>
        </w:tc>
        <w:tc>
          <w:tcPr>
            <w:tcW w:w="3831" w:type="dxa"/>
            <w:shd w:val="clear" w:color="auto" w:fill="auto"/>
          </w:tcPr>
          <w:p w14:paraId="7C87A70F">
            <w:pPr>
              <w:spacing w:after="0"/>
              <w:rPr>
                <w:rFonts w:ascii="Arial" w:hAnsi="Arial" w:cs="Arial"/>
                <w:sz w:val="18"/>
                <w:szCs w:val="18"/>
              </w:rPr>
            </w:pPr>
            <w:r>
              <w:rPr>
                <w:rFonts w:ascii="Arial" w:hAnsi="Arial" w:cs="Arial"/>
                <w:sz w:val="18"/>
                <w:szCs w:val="18"/>
              </w:rPr>
              <w:t>model delivery (if needed) over-the-top.</w:t>
            </w:r>
          </w:p>
        </w:tc>
        <w:tc>
          <w:tcPr>
            <w:tcW w:w="2196" w:type="dxa"/>
            <w:shd w:val="clear" w:color="auto" w:fill="auto"/>
          </w:tcPr>
          <w:p w14:paraId="02FD8A8B">
            <w:pPr>
              <w:spacing w:after="0"/>
              <w:rPr>
                <w:rFonts w:ascii="Arial" w:hAnsi="Arial" w:cs="Arial"/>
                <w:sz w:val="18"/>
                <w:szCs w:val="18"/>
              </w:rPr>
            </w:pPr>
            <w:r>
              <w:rPr>
                <w:rFonts w:ascii="Arial" w:hAnsi="Arial" w:cs="Arial"/>
                <w:sz w:val="18"/>
                <w:szCs w:val="18"/>
              </w:rPr>
              <w:t>Outside 3GPP Network</w:t>
            </w:r>
          </w:p>
        </w:tc>
        <w:tc>
          <w:tcPr>
            <w:tcW w:w="2974" w:type="dxa"/>
            <w:shd w:val="clear" w:color="auto" w:fill="auto"/>
          </w:tcPr>
          <w:p w14:paraId="6CF2DB16">
            <w:pPr>
              <w:spacing w:after="0"/>
              <w:rPr>
                <w:rFonts w:ascii="Arial" w:hAnsi="Arial" w:cs="Arial"/>
                <w:sz w:val="18"/>
                <w:szCs w:val="18"/>
              </w:rPr>
            </w:pPr>
            <w:r>
              <w:rPr>
                <w:rFonts w:ascii="Arial" w:hAnsi="Arial" w:cs="Arial"/>
                <w:sz w:val="18"/>
                <w:szCs w:val="18"/>
              </w:rPr>
              <w:t>UE-side / NW-side / neutral site</w:t>
            </w:r>
          </w:p>
        </w:tc>
      </w:tr>
      <w:tr w14:paraId="4D60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83" w:type="dxa"/>
            <w:shd w:val="clear" w:color="auto" w:fill="auto"/>
          </w:tcPr>
          <w:p w14:paraId="68D88119">
            <w:pPr>
              <w:spacing w:after="0"/>
              <w:rPr>
                <w:rFonts w:ascii="Arial" w:hAnsi="Arial" w:cs="Arial"/>
                <w:b/>
                <w:sz w:val="18"/>
                <w:szCs w:val="18"/>
                <w:highlight w:val="none"/>
              </w:rPr>
            </w:pPr>
            <w:r>
              <w:rPr>
                <w:rFonts w:ascii="Arial" w:hAnsi="Arial" w:cs="Arial"/>
                <w:b/>
                <w:sz w:val="18"/>
                <w:szCs w:val="18"/>
                <w:highlight w:val="none"/>
              </w:rPr>
              <w:t>z1</w:t>
            </w:r>
          </w:p>
        </w:tc>
        <w:tc>
          <w:tcPr>
            <w:tcW w:w="3831" w:type="dxa"/>
            <w:shd w:val="clear" w:color="auto" w:fill="auto"/>
          </w:tcPr>
          <w:p w14:paraId="7E5E1515">
            <w:pPr>
              <w:spacing w:after="0"/>
              <w:rPr>
                <w:rFonts w:ascii="Arial" w:hAnsi="Arial" w:cs="Arial"/>
                <w:sz w:val="18"/>
                <w:szCs w:val="18"/>
                <w:highlight w:val="none"/>
              </w:rPr>
            </w:pPr>
            <w:r>
              <w:rPr>
                <w:rFonts w:ascii="Arial" w:hAnsi="Arial" w:cs="Arial"/>
                <w:sz w:val="18"/>
                <w:szCs w:val="18"/>
                <w:highlight w:val="none"/>
              </w:rPr>
              <w:t>model transfer in proprietary format.</w:t>
            </w:r>
          </w:p>
        </w:tc>
        <w:tc>
          <w:tcPr>
            <w:tcW w:w="2196" w:type="dxa"/>
            <w:shd w:val="clear" w:color="auto" w:fill="auto"/>
          </w:tcPr>
          <w:p w14:paraId="4F7B58CF">
            <w:pPr>
              <w:spacing w:after="0"/>
              <w:rPr>
                <w:rFonts w:ascii="Arial" w:hAnsi="Arial" w:cs="Arial"/>
                <w:sz w:val="18"/>
                <w:szCs w:val="18"/>
                <w:highlight w:val="none"/>
              </w:rPr>
            </w:pPr>
            <w:r>
              <w:rPr>
                <w:rFonts w:ascii="Arial" w:hAnsi="Arial" w:cs="Arial"/>
                <w:sz w:val="18"/>
                <w:szCs w:val="18"/>
                <w:highlight w:val="none"/>
              </w:rPr>
              <w:t>3GPP Network</w:t>
            </w:r>
          </w:p>
        </w:tc>
        <w:tc>
          <w:tcPr>
            <w:tcW w:w="2974" w:type="dxa"/>
            <w:shd w:val="clear" w:color="auto" w:fill="auto"/>
          </w:tcPr>
          <w:p w14:paraId="464E7B00">
            <w:pPr>
              <w:spacing w:after="0"/>
              <w:rPr>
                <w:rFonts w:ascii="Arial" w:hAnsi="Arial" w:cs="Arial"/>
                <w:sz w:val="18"/>
                <w:szCs w:val="18"/>
                <w:highlight w:val="none"/>
              </w:rPr>
            </w:pPr>
            <w:r>
              <w:rPr>
                <w:rFonts w:ascii="Arial" w:hAnsi="Arial" w:cs="Arial"/>
                <w:sz w:val="18"/>
                <w:szCs w:val="18"/>
                <w:highlight w:val="none"/>
              </w:rPr>
              <w:t>UE-side / neutral site</w:t>
            </w:r>
          </w:p>
        </w:tc>
      </w:tr>
      <w:tr w14:paraId="4146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F11A7F0">
            <w:pPr>
              <w:spacing w:after="0"/>
              <w:rPr>
                <w:rFonts w:ascii="Arial" w:hAnsi="Arial" w:cs="Arial"/>
                <w:b/>
                <w:strike/>
                <w:dstrike w:val="0"/>
                <w:sz w:val="18"/>
                <w:szCs w:val="18"/>
              </w:rPr>
            </w:pPr>
            <w:r>
              <w:rPr>
                <w:rFonts w:ascii="Arial" w:hAnsi="Arial" w:cs="Arial"/>
                <w:b/>
                <w:strike/>
                <w:dstrike w:val="0"/>
                <w:sz w:val="18"/>
                <w:szCs w:val="18"/>
              </w:rPr>
              <w:t>z2</w:t>
            </w:r>
          </w:p>
        </w:tc>
        <w:tc>
          <w:tcPr>
            <w:tcW w:w="3831" w:type="dxa"/>
            <w:shd w:val="clear" w:color="auto" w:fill="auto"/>
          </w:tcPr>
          <w:p w14:paraId="75293808">
            <w:pPr>
              <w:spacing w:after="0"/>
              <w:rPr>
                <w:rFonts w:ascii="Arial" w:hAnsi="Arial" w:cs="Arial"/>
                <w:strike/>
                <w:dstrike w:val="0"/>
                <w:sz w:val="18"/>
                <w:szCs w:val="18"/>
              </w:rPr>
            </w:pPr>
            <w:r>
              <w:rPr>
                <w:rFonts w:ascii="Arial" w:hAnsi="Arial" w:cs="Arial"/>
                <w:strike/>
                <w:dstrike w:val="0"/>
                <w:sz w:val="18"/>
                <w:szCs w:val="18"/>
              </w:rPr>
              <w:t>model transfer in proprietary format.</w:t>
            </w:r>
          </w:p>
        </w:tc>
        <w:tc>
          <w:tcPr>
            <w:tcW w:w="2196" w:type="dxa"/>
            <w:shd w:val="clear" w:color="auto" w:fill="auto"/>
          </w:tcPr>
          <w:p w14:paraId="6C2E38AD">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441096C3">
            <w:pPr>
              <w:spacing w:after="0"/>
              <w:rPr>
                <w:rFonts w:ascii="Arial" w:hAnsi="Arial" w:cs="Arial"/>
                <w:strike/>
                <w:dstrike w:val="0"/>
                <w:sz w:val="18"/>
                <w:szCs w:val="18"/>
              </w:rPr>
            </w:pPr>
            <w:r>
              <w:rPr>
                <w:rFonts w:ascii="Arial" w:hAnsi="Arial" w:cs="Arial"/>
                <w:strike/>
                <w:dstrike w:val="0"/>
                <w:sz w:val="18"/>
                <w:szCs w:val="18"/>
              </w:rPr>
              <w:t>NW-side</w:t>
            </w:r>
          </w:p>
        </w:tc>
      </w:tr>
      <w:tr w14:paraId="5DCA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746F7E8">
            <w:pPr>
              <w:spacing w:after="0"/>
              <w:rPr>
                <w:rFonts w:ascii="Arial" w:hAnsi="Arial" w:cs="Arial"/>
                <w:b/>
                <w:strike/>
                <w:dstrike w:val="0"/>
                <w:sz w:val="18"/>
                <w:szCs w:val="18"/>
              </w:rPr>
            </w:pPr>
            <w:r>
              <w:rPr>
                <w:rFonts w:ascii="Arial" w:hAnsi="Arial" w:cs="Arial"/>
                <w:b/>
                <w:strike/>
                <w:dstrike w:val="0"/>
                <w:sz w:val="18"/>
                <w:szCs w:val="18"/>
              </w:rPr>
              <w:t>z3</w:t>
            </w:r>
          </w:p>
        </w:tc>
        <w:tc>
          <w:tcPr>
            <w:tcW w:w="3831" w:type="dxa"/>
            <w:shd w:val="clear" w:color="auto" w:fill="auto"/>
          </w:tcPr>
          <w:p w14:paraId="496532B2">
            <w:pPr>
              <w:spacing w:after="0"/>
              <w:rPr>
                <w:rFonts w:ascii="Arial" w:hAnsi="Arial" w:cs="Arial"/>
                <w:strike/>
                <w:dstrike w:val="0"/>
                <w:sz w:val="18"/>
                <w:szCs w:val="18"/>
              </w:rPr>
            </w:pPr>
            <w:r>
              <w:rPr>
                <w:rFonts w:ascii="Arial" w:hAnsi="Arial" w:cs="Arial"/>
                <w:strike/>
                <w:dstrike w:val="0"/>
                <w:sz w:val="18"/>
                <w:szCs w:val="18"/>
              </w:rPr>
              <w:t>model transfer in open format.</w:t>
            </w:r>
          </w:p>
        </w:tc>
        <w:tc>
          <w:tcPr>
            <w:tcW w:w="2196" w:type="dxa"/>
            <w:shd w:val="clear" w:color="auto" w:fill="auto"/>
          </w:tcPr>
          <w:p w14:paraId="6504C9DD">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1DB23536">
            <w:pPr>
              <w:spacing w:after="0"/>
              <w:rPr>
                <w:rFonts w:ascii="Arial" w:hAnsi="Arial" w:cs="Arial"/>
                <w:strike/>
                <w:dstrike w:val="0"/>
                <w:sz w:val="18"/>
                <w:szCs w:val="18"/>
              </w:rPr>
            </w:pPr>
            <w:r>
              <w:rPr>
                <w:rFonts w:ascii="Arial" w:hAnsi="Arial" w:cs="Arial"/>
                <w:strike/>
                <w:dstrike w:val="0"/>
                <w:sz w:val="18"/>
                <w:szCs w:val="18"/>
              </w:rPr>
              <w:t>UE-side / neutral site</w:t>
            </w:r>
          </w:p>
        </w:tc>
      </w:tr>
      <w:tr w14:paraId="2989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4679CCCE">
            <w:pPr>
              <w:spacing w:after="0"/>
              <w:rPr>
                <w:rFonts w:ascii="Arial" w:hAnsi="Arial" w:cs="Arial"/>
                <w:b/>
                <w:sz w:val="18"/>
                <w:szCs w:val="18"/>
              </w:rPr>
            </w:pPr>
            <w:r>
              <w:rPr>
                <w:rFonts w:ascii="Arial" w:hAnsi="Arial" w:cs="Arial"/>
                <w:b/>
                <w:sz w:val="18"/>
                <w:szCs w:val="18"/>
              </w:rPr>
              <w:t>z4</w:t>
            </w:r>
          </w:p>
        </w:tc>
        <w:tc>
          <w:tcPr>
            <w:tcW w:w="3831" w:type="dxa"/>
            <w:shd w:val="clear" w:color="auto" w:fill="auto"/>
          </w:tcPr>
          <w:p w14:paraId="7C2304C2">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6C962F95">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10E43B88">
            <w:pPr>
              <w:spacing w:after="0"/>
              <w:rPr>
                <w:rFonts w:ascii="Arial" w:hAnsi="Arial" w:cs="Arial"/>
                <w:sz w:val="18"/>
                <w:szCs w:val="18"/>
              </w:rPr>
            </w:pPr>
            <w:r>
              <w:rPr>
                <w:rFonts w:ascii="Arial" w:hAnsi="Arial" w:cs="Arial"/>
                <w:sz w:val="18"/>
                <w:szCs w:val="18"/>
              </w:rPr>
              <w:t>NW-side</w:t>
            </w:r>
          </w:p>
        </w:tc>
      </w:tr>
      <w:tr w14:paraId="0C7B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42A6999">
            <w:pPr>
              <w:spacing w:after="0"/>
              <w:rPr>
                <w:rFonts w:ascii="Arial" w:hAnsi="Arial" w:cs="Arial"/>
                <w:b/>
                <w:strike/>
                <w:dstrike w:val="0"/>
                <w:sz w:val="18"/>
                <w:szCs w:val="18"/>
              </w:rPr>
            </w:pPr>
            <w:r>
              <w:rPr>
                <w:rFonts w:ascii="Arial" w:hAnsi="Arial" w:cs="Arial"/>
                <w:b/>
                <w:strike/>
                <w:dstrike w:val="0"/>
                <w:sz w:val="18"/>
                <w:szCs w:val="18"/>
              </w:rPr>
              <w:t>z5</w:t>
            </w:r>
          </w:p>
        </w:tc>
        <w:tc>
          <w:tcPr>
            <w:tcW w:w="3831" w:type="dxa"/>
            <w:shd w:val="clear" w:color="auto" w:fill="auto"/>
          </w:tcPr>
          <w:p w14:paraId="58CDD52A">
            <w:pPr>
              <w:spacing w:after="0"/>
              <w:rPr>
                <w:rFonts w:ascii="Arial" w:hAnsi="Arial" w:cs="Arial"/>
                <w:strike/>
                <w:dstrike w:val="0"/>
                <w:sz w:val="18"/>
                <w:szCs w:val="18"/>
              </w:rPr>
            </w:pPr>
            <w:r>
              <w:rPr>
                <w:rFonts w:ascii="Arial" w:hAnsi="Arial" w:cs="Arial"/>
                <w:strike/>
                <w:dstrike w:val="0"/>
                <w:sz w:val="18"/>
                <w:szCs w:val="18"/>
              </w:rPr>
              <w:t xml:space="preserve">model transfer in open format of </w:t>
            </w:r>
            <w:r>
              <w:rPr>
                <w:rFonts w:ascii="Arial" w:hAnsi="Arial" w:cs="Arial"/>
                <w:i/>
                <w:iCs/>
                <w:strike/>
                <w:dstrike w:val="0"/>
                <w:sz w:val="18"/>
                <w:szCs w:val="18"/>
              </w:rPr>
              <w:t>an unknown model structure</w:t>
            </w:r>
            <w:r>
              <w:rPr>
                <w:rFonts w:ascii="Arial" w:hAnsi="Arial" w:cs="Arial"/>
                <w:strike/>
                <w:dstrike w:val="0"/>
                <w:sz w:val="18"/>
                <w:szCs w:val="18"/>
              </w:rPr>
              <w:t xml:space="preserve"> at UE, i.e., any other model structure not covered in z4, including any model structure that is only partially known.</w:t>
            </w:r>
          </w:p>
        </w:tc>
        <w:tc>
          <w:tcPr>
            <w:tcW w:w="2196" w:type="dxa"/>
            <w:shd w:val="clear" w:color="auto" w:fill="auto"/>
          </w:tcPr>
          <w:p w14:paraId="38F4BEEB">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6349E1A4">
            <w:pPr>
              <w:spacing w:after="0"/>
              <w:rPr>
                <w:rFonts w:ascii="Arial" w:hAnsi="Arial" w:cs="Arial"/>
                <w:strike/>
                <w:dstrike w:val="0"/>
                <w:sz w:val="18"/>
                <w:szCs w:val="18"/>
              </w:rPr>
            </w:pPr>
            <w:r>
              <w:rPr>
                <w:rFonts w:ascii="Arial" w:hAnsi="Arial" w:cs="Arial"/>
                <w:strike/>
                <w:dstrike w:val="0"/>
                <w:sz w:val="18"/>
                <w:szCs w:val="18"/>
              </w:rPr>
              <w:t>NW-side</w:t>
            </w:r>
          </w:p>
        </w:tc>
      </w:tr>
      <w:tr w14:paraId="7C38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14:paraId="3A43C5B0">
            <w:pPr>
              <w:pStyle w:val="28"/>
            </w:pPr>
            <w:r>
              <w:t>Note:</w:t>
            </w:r>
            <w:r>
              <w:tab/>
            </w:r>
            <w:r>
              <w:t>The definition of various Cases is only for the purpose of facilitating discussion and does not imply applicability, feasibility, entity mapping, architecture, signalling nor any prioritization.</w:t>
            </w:r>
          </w:p>
        </w:tc>
      </w:tr>
    </w:tbl>
    <w:p w14:paraId="7CA536C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 xml:space="preserve">In RAN2#127bis meeting [2], RAN2 discussed the requirements on controllability and visibility for model transfer/delivery, but had no consensus. </w:t>
      </w:r>
    </w:p>
    <w:p w14:paraId="40193F0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hint="eastAsia" w:ascii="Arial" w:hAnsi="Arial" w:eastAsia="宋体" w:cs="Arial"/>
          <w:kern w:val="0"/>
          <w:sz w:val="20"/>
          <w:szCs w:val="20"/>
          <w:lang w:val="en-US" w:eastAsia="zh-CN"/>
        </w:rPr>
        <w:t xml:space="preserve"> </w:t>
      </w:r>
      <w:r>
        <w:rPr>
          <w:rFonts w:hint="eastAsia" w:ascii="Arial" w:hAnsi="Arial" w:cs="Arial"/>
          <w:sz w:val="20"/>
          <w:szCs w:val="20"/>
          <w:lang w:val="en-US" w:eastAsia="zh-CN"/>
        </w:rPr>
        <w:t xml:space="preserve">will provide further analysis of the requirements </w:t>
      </w:r>
      <w:r>
        <w:rPr>
          <w:rFonts w:hint="eastAsia" w:ascii="Arial" w:hAnsi="Arial" w:eastAsia="宋体" w:cs="Arial"/>
          <w:kern w:val="0"/>
          <w:sz w:val="20"/>
          <w:szCs w:val="20"/>
          <w:lang w:val="en-US" w:eastAsia="zh-CN"/>
        </w:rPr>
        <w:t>on controllability and visibility from the perspective of operator</w:t>
      </w:r>
      <w:r>
        <w:rPr>
          <w:rFonts w:ascii="Arial" w:hAnsi="Arial" w:eastAsia="宋体" w:cs="Arial"/>
          <w:kern w:val="0"/>
          <w:sz w:val="20"/>
          <w:szCs w:val="20"/>
          <w:lang w:val="en-GB"/>
        </w:rPr>
        <w:t>.</w:t>
      </w:r>
    </w:p>
    <w:p w14:paraId="347D042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03A0B0B8">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the discussion on R18 and R19 AI/ML for air interface, one-sided model for CSI prediction, beam management, positioning use cases, and two-sided model for CSI compression use case are studied in RAN1 and RAN2. Considering the requirements on two-sided model have been included in the post email discussion </w:t>
      </w:r>
      <w:r>
        <w:rPr>
          <w:rFonts w:hint="eastAsia" w:ascii="Arial" w:hAnsi="Arial" w:eastAsia="宋体" w:cs="Arial"/>
          <w:kern w:val="0"/>
          <w:sz w:val="20"/>
          <w:szCs w:val="20"/>
        </w:rPr>
        <w:t>[POST129][029][AI Phy] Model transfer (Xiaomi/Ericsson)</w:t>
      </w:r>
      <w:r>
        <w:rPr>
          <w:rFonts w:hint="eastAsia" w:ascii="Arial" w:hAnsi="Arial" w:eastAsia="宋体" w:cs="Arial"/>
          <w:kern w:val="0"/>
          <w:sz w:val="20"/>
          <w:szCs w:val="20"/>
          <w:lang w:val="en-US" w:eastAsia="zh-CN"/>
        </w:rPr>
        <w:t xml:space="preserve"> [3], we will discuss the requirements on model transfer/delivery for one-sided model in this contribution.</w:t>
      </w:r>
    </w:p>
    <w:p w14:paraId="7E40BBEF">
      <w:pPr>
        <w:widowControl/>
        <w:spacing w:before="120" w:beforeLines="50" w:after="180"/>
        <w:rPr>
          <w:rFonts w:hint="default" w:ascii="Arial" w:hAnsi="Arial" w:eastAsia="宋体" w:cs="Arial"/>
          <w:kern w:val="0"/>
          <w:sz w:val="20"/>
          <w:szCs w:val="20"/>
          <w:highlight w:val="none"/>
          <w:lang w:val="en-US" w:eastAsia="zh-CN"/>
        </w:rPr>
      </w:pPr>
      <w:r>
        <w:rPr>
          <w:rFonts w:hint="eastAsia" w:ascii="Arial" w:hAnsi="Arial" w:eastAsia="宋体" w:cs="Arial"/>
          <w:kern w:val="0"/>
          <w:sz w:val="20"/>
          <w:szCs w:val="20"/>
          <w:highlight w:val="none"/>
          <w:lang w:val="en-US" w:eastAsia="zh-CN"/>
        </w:rPr>
        <w:t>In general, controllability encompasses both the control exercised during the model transfer/delivery procedure and the control maintained after the model transfer/delivery procedure is completed. In our understanding, we think that control maintained after the model transfer/delivery procedure should be considered as part of LCM. Therefore, we will focus on the controllability during the model transfer/delivery procedure in this contribution.</w:t>
      </w:r>
    </w:p>
    <w:p w14:paraId="32D43326">
      <w:pPr>
        <w:widowControl/>
        <w:spacing w:before="120" w:beforeLines="50" w:after="180"/>
        <w:outlineLvl w:val="1"/>
        <w:rPr>
          <w:rFonts w:hint="default" w:ascii="Arial" w:hAnsi="Arial" w:eastAsia="宋体" w:cs="Arial"/>
          <w:b w:val="0"/>
          <w:bCs w:val="0"/>
          <w:kern w:val="0"/>
          <w:sz w:val="28"/>
          <w:szCs w:val="28"/>
          <w:lang w:val="en-US" w:eastAsia="zh-CN"/>
        </w:rPr>
      </w:pPr>
      <w:r>
        <w:rPr>
          <w:rFonts w:hint="eastAsia" w:ascii="Arial" w:hAnsi="Arial" w:eastAsia="宋体" w:cs="Arial"/>
          <w:b w:val="0"/>
          <w:bCs w:val="0"/>
          <w:kern w:val="0"/>
          <w:sz w:val="28"/>
          <w:szCs w:val="28"/>
          <w:lang w:val="en-US" w:eastAsia="zh-CN"/>
        </w:rPr>
        <w:t>2.1 Discussion on requirements on one-sided model</w:t>
      </w:r>
    </w:p>
    <w:p w14:paraId="4E25746A">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UE-sided model for CSI prediction, beam management and positioning, RAN2 assumed that UE-side OTT server would be responsible for model training during study phase, and discussed the following potential solutions for data collection for UE-sided model training </w:t>
      </w:r>
      <w:r>
        <w:rPr>
          <w:rFonts w:hint="eastAsia" w:ascii="Arial" w:hAnsi="Arial" w:eastAsia="宋体" w:cs="Arial"/>
          <w:kern w:val="0"/>
          <w:sz w:val="20"/>
          <w:szCs w:val="20"/>
          <w:highlight w:val="none"/>
          <w:lang w:val="en-US" w:eastAsia="zh-CN"/>
        </w:rPr>
        <w:t>[4]</w:t>
      </w:r>
      <w:r>
        <w:rPr>
          <w:rFonts w:hint="eastAsia" w:ascii="Arial" w:hAnsi="Arial" w:eastAsia="宋体" w:cs="Arial"/>
          <w:kern w:val="0"/>
          <w:sz w:val="20"/>
          <w:szCs w:val="20"/>
          <w:lang w:val="en-US" w:eastAsia="zh-CN"/>
        </w:rPr>
        <w:t>. Considering the training location for one-sided model, we understand that case y and case z1 in Table 1 can be applied for UE-sided model transfer/delivery.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1D7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AFF31E">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1a.</w:t>
            </w:r>
            <w:r>
              <w:rPr>
                <w:rFonts w:hint="eastAsia" w:ascii="Arial" w:hAnsi="Arial" w:cs="Arial"/>
                <w:sz w:val="20"/>
                <w:szCs w:val="21"/>
                <w:lang w:val="en-GB" w:eastAsia="en-GB"/>
              </w:rPr>
              <w:tab/>
            </w:r>
            <w:r>
              <w:rPr>
                <w:rFonts w:hint="eastAsia" w:ascii="Arial" w:hAnsi="Arial" w:cs="Arial"/>
                <w:sz w:val="20"/>
                <w:szCs w:val="21"/>
                <w:lang w:val="en-GB" w:eastAsia="en-GB"/>
              </w:rPr>
              <w:t>UE collects and directly transfers training data to the data collection entity outside the MNO (e.g. Over-The-Top (OTT) server) for UE-side model training. No 3GPP specification impact is expected.</w:t>
            </w:r>
          </w:p>
          <w:p w14:paraId="32F29FBF">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1b.</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the server for data collection for UE-side model training (inside the MNO) and then optionally from the server for data collection for UE-side model training to the OTT server (outside the MNO).</w:t>
            </w:r>
          </w:p>
          <w:p w14:paraId="3620E73B">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2.</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Core Network. Core Network transfers the training data to the server for data collection for UE-side model training/OTT server.</w:t>
            </w:r>
          </w:p>
          <w:p w14:paraId="59EA4F76">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eastAsia="宋体" w:cs="Arial"/>
                <w:kern w:val="0"/>
                <w:sz w:val="20"/>
                <w:szCs w:val="20"/>
                <w:vertAlign w:val="baseline"/>
                <w:lang w:val="en-US" w:eastAsia="zh-CN"/>
              </w:rPr>
            </w:pPr>
            <w:r>
              <w:rPr>
                <w:rFonts w:hint="eastAsia" w:ascii="Arial" w:hAnsi="Arial" w:cs="Arial"/>
                <w:sz w:val="20"/>
                <w:szCs w:val="21"/>
                <w:lang w:val="en-GB" w:eastAsia="en-GB"/>
              </w:rPr>
              <w:t>3.</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OAM. OAM transfers the training data to the server for data collection for UE-side model training/OTT server.</w:t>
            </w:r>
          </w:p>
        </w:tc>
      </w:tr>
    </w:tbl>
    <w:p w14:paraId="64A7E4B2">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Furthermore, RAN2 discussed the requirements on controllability and visibility for data collection, since there were some concerns on the privacy and data leakage issues from the perspective of operators, chip vendor, UE vendor and network vendor. </w:t>
      </w:r>
    </w:p>
    <w:p w14:paraId="6495871B">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However, for model transfer/delivery, we think the case is different from data collection. In our understanding, when a model is trained by OTT server, it is straightforward to send the model to the UE directly (transparent to 3GPP, i.e. case y in Table 1, whether and when to transmit the model is up to implementation, which is similar to legacy user plane data transmission. Thus, there is no requirements on controllability or visibility for UE-sided model transfer/delivery case y.</w:t>
      </w:r>
    </w:p>
    <w:p w14:paraId="7EEE1E9A">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There is no requirements on controllability or visibility for UE-sided model transfer/delivery case y, since the model trained in OTT server can be sent to the UE directly from OTT-server (transparent to 3GPP).</w:t>
      </w:r>
    </w:p>
    <w:p w14:paraId="53F5964C">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case z1, the model is trained at UE side or neutral side but stored at network side, and then transferred/delivered to the UE. Due to the model format is proprietary, we don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t think that the network can be able to and need to comprehend the model in proprietary format.  </w:t>
      </w:r>
    </w:p>
    <w:p w14:paraId="34A3E194">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For case z1, the model is in proprietary format which is not comprehend by network.</w:t>
      </w:r>
    </w:p>
    <w:p w14:paraId="5A23A89A">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kern w:val="0"/>
          <w:sz w:val="20"/>
          <w:szCs w:val="20"/>
          <w:lang w:val="en-US" w:eastAsia="zh-CN"/>
        </w:rPr>
        <w:t xml:space="preserve">In last meeting, some companies proposed that meta info of the model should be aware by network </w:t>
      </w:r>
      <w:r>
        <w:rPr>
          <w:rFonts w:hint="eastAsia" w:ascii="Arial" w:hAnsi="Arial" w:eastAsia="宋体" w:cs="Arial"/>
          <w:kern w:val="0"/>
          <w:sz w:val="20"/>
          <w:szCs w:val="20"/>
          <w:highlight w:val="none"/>
          <w:lang w:val="en-US" w:eastAsia="zh-CN"/>
        </w:rPr>
        <w:t>during the model transfer procedure</w:t>
      </w:r>
      <w:r>
        <w:rPr>
          <w:rFonts w:hint="eastAsia" w:ascii="Arial" w:hAnsi="Arial" w:eastAsia="宋体" w:cs="Arial"/>
          <w:kern w:val="0"/>
          <w:sz w:val="20"/>
          <w:szCs w:val="20"/>
          <w:lang w:val="en-US" w:eastAsia="zh-CN"/>
        </w:rPr>
        <w:t>, e.g. to be used for further model management especially for monitoring. But we think this is unreasonable because during R19 discussion, RAN2 focuses on functionality-based LCM not model-based LCM for now, so the network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be aware of and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care which model is used at UE side, and there is no need to know the meta info of the model.</w:t>
      </w:r>
    </w:p>
    <w:p w14:paraId="75BC5C11">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RAN2 focuses on functionality-based LCM during R19 discussion, the network doesn</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t be aware of which model is used at UE side.</w:t>
      </w:r>
    </w:p>
    <w:p w14:paraId="72CAA646">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However, considering the model is stored in network for case z1, we understand that the network can be aware that this is a model, but no more than that. In addition, whether and when to transfer the model to the UE can be up to network, including network initiates autonomously or based on UE request. From this perspective, we think there may be requirements on visibility and controllability for model transfer/delivery case z1, i.e. the network can be aware this is the model (model content or meta info is not aware) and model transfer/delivery procedure. In other words, there is some requirements on partial visibility and controllability. </w:t>
      </w:r>
    </w:p>
    <w:p w14:paraId="56FAC384">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3: For the visibility and controllability for UE-sided model transfer/delivery case z1:</w:t>
      </w:r>
    </w:p>
    <w:p w14:paraId="54102AAE">
      <w:pPr>
        <w:widowControl/>
        <w:spacing w:before="120" w:beforeLines="50" w:after="180"/>
        <w:ind w:leftChars="200" w:firstLine="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There is requirement that the network needs to be aware that this is a model (model content or meta info is not aware) since the model is stored at network side</w:t>
      </w:r>
    </w:p>
    <w:p w14:paraId="70178D44">
      <w:pPr>
        <w:widowControl/>
        <w:spacing w:before="120" w:beforeLines="50" w:after="180"/>
        <w:ind w:leftChars="2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There is no strong requirement on visibility and controllability due to its transfer in proprietary format. Whether and when to transfer the model to the UE can be up to network, including network initiates autonomously or based on UE request</w:t>
      </w:r>
    </w:p>
    <w:p w14:paraId="228E3F6A">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From the perspective of operator, we have no strong requirement on visibility and controllability for UE-sided model transfer/delivery actually, and we also have no idea on how to achieve the commercial deployment for case z1, e.g. which 3GPP node will store the AI models. Therefore, we prefer to de-prioritize case z1 for one-sided model transfer/delivery.</w:t>
      </w:r>
    </w:p>
    <w:p w14:paraId="3BC4AF16">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It is proposed to de-prioritize case z1 for one-sided model transfer/delivery, since there is no strong requirement on visibility and controllability for UE-sided model transfer/delivery from the perspective of operator.</w:t>
      </w:r>
    </w:p>
    <w:p w14:paraId="1D65716F">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Based on the above analysis, we prefer to follow case y for UE-sided model transfer/delivery in R19. </w:t>
      </w:r>
    </w:p>
    <w:p w14:paraId="2982474D">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It is proposed to follow case y for UE-sided model transfer/delivery in R19, i.e. the UE-sided model is delivered over the top, which is transparent to 3GPP.</w:t>
      </w:r>
    </w:p>
    <w:p w14:paraId="60EF2170">
      <w:pPr>
        <w:widowControl/>
        <w:spacing w:before="120" w:beforeLines="50" w:after="180"/>
        <w:jc w:val="both"/>
        <w:rPr>
          <w:rFonts w:hint="default" w:ascii="Arial" w:hAnsi="Arial" w:eastAsia="宋体" w:cs="Arial"/>
          <w:b/>
          <w:bCs/>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2A533F7B">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requirements on AI/ML model transfer/delivery</w:t>
      </w:r>
      <w:r>
        <w:rPr>
          <w:rFonts w:ascii="Arial" w:hAnsi="Arial" w:eastAsia="宋体" w:cs="Arial"/>
          <w:kern w:val="0"/>
          <w:sz w:val="21"/>
          <w:szCs w:val="21"/>
          <w:lang w:val="en-GB" w:eastAsia="en-US"/>
        </w:rPr>
        <w:t>.</w:t>
      </w:r>
    </w:p>
    <w:p w14:paraId="062F9809">
      <w:pPr>
        <w:widowControl/>
        <w:spacing w:before="120" w:beforeLines="50"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Discussion on one-sided model</w:t>
      </w:r>
    </w:p>
    <w:p w14:paraId="646098A7">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There is no requirements on controllability or visibility for UE-sided model transfer/delivery case y, since the model trained in OTT server can be sent to the UE directly from OTT-server (transparent to 3GPP).</w:t>
      </w:r>
    </w:p>
    <w:p w14:paraId="01107F2F">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For case z1, the model is in proprietary format which is not comprehend by network.</w:t>
      </w:r>
    </w:p>
    <w:p w14:paraId="1FFE9D88">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RAN2 focuses on functionality-based LCM during R19 discussion, the network doesn</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t be aware of which model is used at UE side.</w:t>
      </w:r>
    </w:p>
    <w:p w14:paraId="6AE5EFFE">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observation 3: For the visibility and controllability for UE-sided model transfer/delivery case z1, since the model is stored at network side, </w:t>
      </w:r>
    </w:p>
    <w:p w14:paraId="04B1058B">
      <w:pPr>
        <w:widowControl/>
        <w:spacing w:before="120" w:beforeLines="50" w:after="180"/>
        <w:ind w:leftChars="200" w:firstLine="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There is requirement that the network needs to be aware that this is a model (model content or meta info is not aware) since the model is stored at network side </w:t>
      </w:r>
    </w:p>
    <w:p w14:paraId="1562EA0A">
      <w:pPr>
        <w:widowControl/>
        <w:spacing w:before="120" w:beforeLines="50" w:after="180"/>
        <w:ind w:leftChars="20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There is no strong requirement on visibility and controllability due to its transfer in proprietary format. Whether and when to transfer the model to the UE can be up to network, including network initiates autonomously or based on UE request</w:t>
      </w:r>
    </w:p>
    <w:p w14:paraId="7F0ADE99">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It is proposed to de-prioritize case z1 for one-sided model transfer/delivery, since there is no strong requirement on visibility and controllability for UE-sided model transfer/delivery from the perspective of operator.</w:t>
      </w:r>
    </w:p>
    <w:p w14:paraId="0C7777C6">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It is proposed to follow case y for UE-sided model transfer/delivery in R19, i.e. the UE-sided model is delivered over the top, which is transparent to 3GPP.</w:t>
      </w:r>
    </w:p>
    <w:p w14:paraId="0F2ED664">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26E5E">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TR 38.843 Study on Artificial Intelligence (AI)/Machine Learning (ML) for NR air interface</w:t>
      </w:r>
    </w:p>
    <w:p w14:paraId="1579FFC4">
      <w:pPr>
        <w:widowControl/>
        <w:numPr>
          <w:ilvl w:val="0"/>
          <w:numId w:val="6"/>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4A250FC5">
      <w:pPr>
        <w:widowControl/>
        <w:numPr>
          <w:ilvl w:val="0"/>
          <w:numId w:val="6"/>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R2-2501939</w:t>
      </w:r>
      <w:bookmarkStart w:id="0" w:name="_GoBack"/>
      <w:bookmarkEnd w:id="0"/>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[POST129][029][AI Phy] Model transfer (Xiaomi/Ericsson)</w:t>
      </w:r>
    </w:p>
    <w:p w14:paraId="0E1E1707">
      <w:pPr>
        <w:widowControl/>
        <w:numPr>
          <w:ilvl w:val="0"/>
          <w:numId w:val="6"/>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R2-2407807 RAN2 inputs to TR 38.843</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50BED944"/>
    <w:multiLevelType w:val="singleLevel"/>
    <w:tmpl w:val="50BED944"/>
    <w:lvl w:ilvl="0" w:tentative="0">
      <w:start w:val="1"/>
      <w:numFmt w:val="decimal"/>
      <w:lvlText w:val="%1"/>
      <w:lvlJc w:val="left"/>
    </w:lvl>
  </w:abstractNum>
  <w:abstractNum w:abstractNumId="4">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25DA7"/>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167A"/>
    <w:rsid w:val="01314B10"/>
    <w:rsid w:val="013561A8"/>
    <w:rsid w:val="0162119C"/>
    <w:rsid w:val="01FE2D6C"/>
    <w:rsid w:val="0218375B"/>
    <w:rsid w:val="027D56B9"/>
    <w:rsid w:val="029439C7"/>
    <w:rsid w:val="02FE3DC3"/>
    <w:rsid w:val="03835890"/>
    <w:rsid w:val="038A1F16"/>
    <w:rsid w:val="04066583"/>
    <w:rsid w:val="045D7E4F"/>
    <w:rsid w:val="04A37BF0"/>
    <w:rsid w:val="04D74A36"/>
    <w:rsid w:val="04DC785F"/>
    <w:rsid w:val="05CF31FF"/>
    <w:rsid w:val="06340025"/>
    <w:rsid w:val="06EB297F"/>
    <w:rsid w:val="071830B3"/>
    <w:rsid w:val="072E4FA9"/>
    <w:rsid w:val="07372B6B"/>
    <w:rsid w:val="07535363"/>
    <w:rsid w:val="07CA6C58"/>
    <w:rsid w:val="07EF7844"/>
    <w:rsid w:val="08AE7EDE"/>
    <w:rsid w:val="08C52E36"/>
    <w:rsid w:val="094470AB"/>
    <w:rsid w:val="09891A7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EA28EA"/>
    <w:rsid w:val="0CFA7AA0"/>
    <w:rsid w:val="0D4A7F23"/>
    <w:rsid w:val="0D6319EE"/>
    <w:rsid w:val="0D711EBE"/>
    <w:rsid w:val="0D771EA7"/>
    <w:rsid w:val="0D9A3986"/>
    <w:rsid w:val="0DA27AC7"/>
    <w:rsid w:val="0DCA1CAE"/>
    <w:rsid w:val="0DCE6B40"/>
    <w:rsid w:val="0E2222F6"/>
    <w:rsid w:val="0E226524"/>
    <w:rsid w:val="0E3D7BFA"/>
    <w:rsid w:val="0E4A09D7"/>
    <w:rsid w:val="0E576A3C"/>
    <w:rsid w:val="0E7E75E5"/>
    <w:rsid w:val="0E9D5987"/>
    <w:rsid w:val="0EE16DA3"/>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C924C9"/>
    <w:rsid w:val="13DE24C7"/>
    <w:rsid w:val="14231F17"/>
    <w:rsid w:val="144E5BFE"/>
    <w:rsid w:val="1466786F"/>
    <w:rsid w:val="146D2577"/>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7A66B9"/>
    <w:rsid w:val="18F43CFD"/>
    <w:rsid w:val="190C7A5C"/>
    <w:rsid w:val="198303E3"/>
    <w:rsid w:val="19F3586E"/>
    <w:rsid w:val="1A083298"/>
    <w:rsid w:val="1AA4601E"/>
    <w:rsid w:val="1AB85684"/>
    <w:rsid w:val="1AD704B3"/>
    <w:rsid w:val="1B3B4FB0"/>
    <w:rsid w:val="1BB95540"/>
    <w:rsid w:val="1C055EED"/>
    <w:rsid w:val="1C1F5B8F"/>
    <w:rsid w:val="1C3F7858"/>
    <w:rsid w:val="1CB83D19"/>
    <w:rsid w:val="1D2C56A6"/>
    <w:rsid w:val="1D55740C"/>
    <w:rsid w:val="1DDE77F9"/>
    <w:rsid w:val="1DE55E1B"/>
    <w:rsid w:val="1E4968A2"/>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A68C7"/>
    <w:rsid w:val="26BB312A"/>
    <w:rsid w:val="26F04D89"/>
    <w:rsid w:val="27896EEB"/>
    <w:rsid w:val="27E92788"/>
    <w:rsid w:val="283167B4"/>
    <w:rsid w:val="284F629C"/>
    <w:rsid w:val="28557CCB"/>
    <w:rsid w:val="28682A73"/>
    <w:rsid w:val="28B6753B"/>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BB7881"/>
    <w:rsid w:val="2DC26D0C"/>
    <w:rsid w:val="2DC747E2"/>
    <w:rsid w:val="2DE57862"/>
    <w:rsid w:val="2DFB6036"/>
    <w:rsid w:val="2E154174"/>
    <w:rsid w:val="2E7432C7"/>
    <w:rsid w:val="2EEF1ACA"/>
    <w:rsid w:val="2EF65D76"/>
    <w:rsid w:val="2F064EC1"/>
    <w:rsid w:val="2F7D7D9E"/>
    <w:rsid w:val="2F960B23"/>
    <w:rsid w:val="2FBE43F5"/>
    <w:rsid w:val="304A473A"/>
    <w:rsid w:val="30AE4570"/>
    <w:rsid w:val="30D54010"/>
    <w:rsid w:val="30D5438C"/>
    <w:rsid w:val="31BF549C"/>
    <w:rsid w:val="31CF3B5F"/>
    <w:rsid w:val="31F81857"/>
    <w:rsid w:val="32604EB6"/>
    <w:rsid w:val="328C48C3"/>
    <w:rsid w:val="32EC5C9B"/>
    <w:rsid w:val="33167574"/>
    <w:rsid w:val="331C59FF"/>
    <w:rsid w:val="3337740D"/>
    <w:rsid w:val="33B158E6"/>
    <w:rsid w:val="33C734BD"/>
    <w:rsid w:val="34E072A8"/>
    <w:rsid w:val="34EB675E"/>
    <w:rsid w:val="351A24AD"/>
    <w:rsid w:val="35552036"/>
    <w:rsid w:val="35A00A25"/>
    <w:rsid w:val="35AA241A"/>
    <w:rsid w:val="35BC2C0C"/>
    <w:rsid w:val="35BF6E19"/>
    <w:rsid w:val="35DE2022"/>
    <w:rsid w:val="366A3CE4"/>
    <w:rsid w:val="368460D4"/>
    <w:rsid w:val="36F84B57"/>
    <w:rsid w:val="3732088D"/>
    <w:rsid w:val="375E6705"/>
    <w:rsid w:val="379F6D19"/>
    <w:rsid w:val="37E92A86"/>
    <w:rsid w:val="38243E54"/>
    <w:rsid w:val="384F4255"/>
    <w:rsid w:val="38D76BCF"/>
    <w:rsid w:val="38FC32F5"/>
    <w:rsid w:val="39030A9D"/>
    <w:rsid w:val="394273E6"/>
    <w:rsid w:val="394361B0"/>
    <w:rsid w:val="39460793"/>
    <w:rsid w:val="39674782"/>
    <w:rsid w:val="396866FD"/>
    <w:rsid w:val="39741201"/>
    <w:rsid w:val="39A47721"/>
    <w:rsid w:val="39BC4BE1"/>
    <w:rsid w:val="3A2A623E"/>
    <w:rsid w:val="3AD1465E"/>
    <w:rsid w:val="3B5C6A72"/>
    <w:rsid w:val="3C2A4B41"/>
    <w:rsid w:val="3CA66A58"/>
    <w:rsid w:val="3CAC79C6"/>
    <w:rsid w:val="3D060202"/>
    <w:rsid w:val="3D210E88"/>
    <w:rsid w:val="3D5B3EF0"/>
    <w:rsid w:val="3D901BF2"/>
    <w:rsid w:val="3DAE5C1C"/>
    <w:rsid w:val="3DB136C3"/>
    <w:rsid w:val="3E85416B"/>
    <w:rsid w:val="3EAC12F3"/>
    <w:rsid w:val="3ECD0998"/>
    <w:rsid w:val="3ED508CA"/>
    <w:rsid w:val="3F7F7B16"/>
    <w:rsid w:val="3FA42170"/>
    <w:rsid w:val="3FAF36DB"/>
    <w:rsid w:val="406A14B3"/>
    <w:rsid w:val="408571C6"/>
    <w:rsid w:val="40BF3346"/>
    <w:rsid w:val="40D924F1"/>
    <w:rsid w:val="40FA2A46"/>
    <w:rsid w:val="410670A8"/>
    <w:rsid w:val="41263FC1"/>
    <w:rsid w:val="415C3753"/>
    <w:rsid w:val="415F764C"/>
    <w:rsid w:val="41B370D6"/>
    <w:rsid w:val="42212582"/>
    <w:rsid w:val="43146FF6"/>
    <w:rsid w:val="433204F8"/>
    <w:rsid w:val="433C3AAA"/>
    <w:rsid w:val="436710AA"/>
    <w:rsid w:val="43B25F5B"/>
    <w:rsid w:val="43E05E15"/>
    <w:rsid w:val="43E81ED4"/>
    <w:rsid w:val="44801F7B"/>
    <w:rsid w:val="44C520DA"/>
    <w:rsid w:val="44D34755"/>
    <w:rsid w:val="44F46625"/>
    <w:rsid w:val="4599227F"/>
    <w:rsid w:val="45EA2721"/>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2D2FD5"/>
    <w:rsid w:val="4B3E5565"/>
    <w:rsid w:val="4B9F60AA"/>
    <w:rsid w:val="4BBF74EC"/>
    <w:rsid w:val="4C265440"/>
    <w:rsid w:val="4C340FD6"/>
    <w:rsid w:val="4D9F212B"/>
    <w:rsid w:val="4DA60CF0"/>
    <w:rsid w:val="4DCF4521"/>
    <w:rsid w:val="4E5D756A"/>
    <w:rsid w:val="4F02695C"/>
    <w:rsid w:val="4F5D546C"/>
    <w:rsid w:val="4FA06940"/>
    <w:rsid w:val="50077447"/>
    <w:rsid w:val="5057605B"/>
    <w:rsid w:val="512521C5"/>
    <w:rsid w:val="51A823AB"/>
    <w:rsid w:val="51CC648B"/>
    <w:rsid w:val="522E4D5D"/>
    <w:rsid w:val="528B1069"/>
    <w:rsid w:val="52AE0ABE"/>
    <w:rsid w:val="52C11A6B"/>
    <w:rsid w:val="539109C4"/>
    <w:rsid w:val="53AE4026"/>
    <w:rsid w:val="53D170F4"/>
    <w:rsid w:val="53E22333"/>
    <w:rsid w:val="53ED2E08"/>
    <w:rsid w:val="546C65E2"/>
    <w:rsid w:val="548779A2"/>
    <w:rsid w:val="54997F22"/>
    <w:rsid w:val="54B70BF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8C13AF4"/>
    <w:rsid w:val="594E1B4B"/>
    <w:rsid w:val="598034DF"/>
    <w:rsid w:val="59F53E5B"/>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B61800"/>
    <w:rsid w:val="5EC53874"/>
    <w:rsid w:val="5EE30186"/>
    <w:rsid w:val="5EE37831"/>
    <w:rsid w:val="5F067418"/>
    <w:rsid w:val="5F2F6349"/>
    <w:rsid w:val="5F5013BC"/>
    <w:rsid w:val="5F577E3F"/>
    <w:rsid w:val="5F600D4E"/>
    <w:rsid w:val="5FDC55D3"/>
    <w:rsid w:val="5FDF12B3"/>
    <w:rsid w:val="5FF90E48"/>
    <w:rsid w:val="60250901"/>
    <w:rsid w:val="60692DEF"/>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81177"/>
    <w:rsid w:val="683167B9"/>
    <w:rsid w:val="68437083"/>
    <w:rsid w:val="685562AE"/>
    <w:rsid w:val="68AA7102"/>
    <w:rsid w:val="68FB65DA"/>
    <w:rsid w:val="69293200"/>
    <w:rsid w:val="694347AF"/>
    <w:rsid w:val="694F06EB"/>
    <w:rsid w:val="69766916"/>
    <w:rsid w:val="69C90475"/>
    <w:rsid w:val="6A0960AB"/>
    <w:rsid w:val="6AA26939"/>
    <w:rsid w:val="6B3A7266"/>
    <w:rsid w:val="6B9425BB"/>
    <w:rsid w:val="6BBA6975"/>
    <w:rsid w:val="6BE35659"/>
    <w:rsid w:val="6C0F21D5"/>
    <w:rsid w:val="6C5E2E74"/>
    <w:rsid w:val="6C8342F7"/>
    <w:rsid w:val="6CE3347E"/>
    <w:rsid w:val="6CF43C82"/>
    <w:rsid w:val="6CF442A6"/>
    <w:rsid w:val="6D3B1B0F"/>
    <w:rsid w:val="6D673555"/>
    <w:rsid w:val="6DC267F1"/>
    <w:rsid w:val="6E083615"/>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0FA3967"/>
    <w:rsid w:val="71DB64D8"/>
    <w:rsid w:val="71E95E0C"/>
    <w:rsid w:val="725501DD"/>
    <w:rsid w:val="732872C5"/>
    <w:rsid w:val="73311008"/>
    <w:rsid w:val="743D52D7"/>
    <w:rsid w:val="749949A3"/>
    <w:rsid w:val="74B97E8F"/>
    <w:rsid w:val="74BB0D2E"/>
    <w:rsid w:val="750641BE"/>
    <w:rsid w:val="75417F6E"/>
    <w:rsid w:val="754F4D69"/>
    <w:rsid w:val="758B3E18"/>
    <w:rsid w:val="75AA7F6B"/>
    <w:rsid w:val="769E6A1B"/>
    <w:rsid w:val="76DB0D8A"/>
    <w:rsid w:val="76F0113F"/>
    <w:rsid w:val="771F60E4"/>
    <w:rsid w:val="77531550"/>
    <w:rsid w:val="777F2661"/>
    <w:rsid w:val="77E32042"/>
    <w:rsid w:val="782563C0"/>
    <w:rsid w:val="783436C5"/>
    <w:rsid w:val="78786397"/>
    <w:rsid w:val="79C61A14"/>
    <w:rsid w:val="79EC6CEB"/>
    <w:rsid w:val="7A481CA5"/>
    <w:rsid w:val="7B4126B7"/>
    <w:rsid w:val="7B9062D4"/>
    <w:rsid w:val="7BE424D4"/>
    <w:rsid w:val="7C171859"/>
    <w:rsid w:val="7C4E5B9F"/>
    <w:rsid w:val="7C7D2A53"/>
    <w:rsid w:val="7CBA552B"/>
    <w:rsid w:val="7CFC265C"/>
    <w:rsid w:val="7D132AA6"/>
    <w:rsid w:val="7D3944F4"/>
    <w:rsid w:val="7E101791"/>
    <w:rsid w:val="7E4932C0"/>
    <w:rsid w:val="7E58216F"/>
    <w:rsid w:val="7E886BD8"/>
    <w:rsid w:val="7EFA5F7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8">
    <w:name w:val="TAN"/>
    <w:basedOn w:val="29"/>
    <w:qFormat/>
    <w:uiPriority w:val="0"/>
    <w:pPr>
      <w:ind w:left="851" w:hanging="851"/>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B2"/>
    <w:basedOn w:val="1"/>
    <w:autoRedefine/>
    <w:qFormat/>
    <w:uiPriority w:val="0"/>
    <w:pPr>
      <w:ind w:left="851"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2238</Words>
  <Characters>11926</Characters>
  <Lines>103</Lines>
  <Paragraphs>29</Paragraphs>
  <TotalTime>12</TotalTime>
  <ScaleCrop>false</ScaleCrop>
  <LinksUpToDate>false</LinksUpToDate>
  <CharactersWithSpaces>14076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2025-03-28T03:05:55Z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1436F0CCD72846D9A07D57316CFEDC0B_13</vt:lpwstr>
  </property>
  <property fmtid="{D5CDD505-2E9C-101B-9397-08002B2CF9AE}" pid="4" name="KSOTemplateDocerSaveRecord">
    <vt:lpwstr>eyJoZGlkIjoiMzEwNTM5NzYwMDRjMzkwZTVkZjY2ODkwMGIxNGU0OTUiLCJ1c2VySWQiOiI1MDQ0ODU3MTMifQ==</vt:lpwstr>
  </property>
</Properties>
</file>